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905"/>
        </w:tabs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tabs>
          <w:tab w:val="left" w:pos="7905"/>
        </w:tabs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十四、城镇公共设施和工业企业室外给排水工程</w:t>
      </w:r>
    </w:p>
    <w:tbl>
      <w:tblPr>
        <w:tblStyle w:val="9"/>
        <w:tblW w:w="140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539"/>
        <w:gridCol w:w="1211"/>
        <w:gridCol w:w="639"/>
        <w:gridCol w:w="604"/>
        <w:gridCol w:w="1221"/>
        <w:gridCol w:w="156"/>
        <w:gridCol w:w="1089"/>
        <w:gridCol w:w="152"/>
        <w:gridCol w:w="1033"/>
        <w:gridCol w:w="208"/>
        <w:gridCol w:w="1309"/>
        <w:gridCol w:w="583"/>
        <w:gridCol w:w="2131"/>
        <w:gridCol w:w="492"/>
        <w:gridCol w:w="302"/>
        <w:gridCol w:w="345"/>
        <w:gridCol w:w="1359"/>
        <w:gridCol w:w="7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79" w:hRule="atLeast"/>
          <w:jc w:val="center"/>
        </w:trPr>
        <w:tc>
          <w:tcPr>
            <w:tcW w:w="53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序号</w:t>
            </w:r>
          </w:p>
        </w:tc>
        <w:tc>
          <w:tcPr>
            <w:tcW w:w="121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单位工程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分部工程</w:t>
            </w:r>
          </w:p>
        </w:tc>
        <w:tc>
          <w:tcPr>
            <w:tcW w:w="122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分项工程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检测节点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项目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检测参数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检测批次/频次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142" w:hRule="atLeas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开（挖）槽施工的管道工程</w:t>
            </w:r>
          </w:p>
        </w:tc>
        <w:tc>
          <w:tcPr>
            <w:tcW w:w="1243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土方工程</w:t>
            </w:r>
          </w:p>
        </w:tc>
        <w:tc>
          <w:tcPr>
            <w:tcW w:w="122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沟槽土方（沟槽开挖、沟槽支撑、沟槽回填）</w:t>
            </w: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tabs>
                <w:tab w:val="left" w:pos="58"/>
              </w:tabs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颗粒级配、含泥量、泥块含量、针片状含量、压碎值、碱活性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验收批进行验收。当石的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天然含水率、液限、塑限、标准击实、CBR试验；必要时应做颗粒分析、有机质含量、易溶盐含量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道路用石灰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有效氧化钙和氧化镁含量、未消化残渣含量、细度、含水率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按不同材料进场批次，每批检查1次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ind w:firstLine="315" w:firstLineChars="150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同一配合比混凝土每100m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连续浇筑超过1000m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时，每200m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取样不少于一次；3.每次取样至少留一组标养试件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；4.同条件养护试件数量根据具体情况定，宜为3-10（组）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GB50204-2015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每一验收批且不超过250m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砌体的各类、各强度等级的普通砌筑砂浆，每台搅拌机应至少抽检一次。验收批的预拌砂浆、蒸压加气混凝土砌块专用砂浆，抽检可为3组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GB50203-2011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GB/T50129-2011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before="240"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before="240"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压实度（沟槽回填）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两井之间或1000m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，每层每侧一组（每组3点）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GB/T50123-2019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灰土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水泥或石灰剂量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根据现场具体情况一次或分层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JTGE51-2009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spacing w:before="240"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压实度（沟槽回填）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两井之间或1000m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,每层每侧一组（每组3点）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预制管开槽施工主体结构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金属类管、混凝土类管、预应力钢筒混凝土管、化学建材管</w:t>
            </w:r>
          </w:p>
        </w:tc>
        <w:tc>
          <w:tcPr>
            <w:tcW w:w="122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管道基础</w:t>
            </w: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混凝土和钢筋混凝土排水管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内水压力、外压荷载、保护层厚度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由相同原材料、相同生产工艺生产的同一规格、同一种接头型式、同一种外压荷载级别的管子组成一个受检批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GB/T11836-2009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GB/T16752-2017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玻璃钢夹砂管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尺寸、初始环刚度、初始环向拉伸强力、初始轴向拉伸强力及拉伸断裂应变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以相同材料、相同工艺、相同规格的100根FRPM管为一个批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sz w:val="21"/>
                <w:szCs w:val="21"/>
                <w:shd w:val="clear" w:color="auto" w:fill="FFFFFF"/>
              </w:rPr>
              <w:t>GB/T21238-2016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聚乙烯双壁波纹管材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尺寸、环刚度、热烘箱试验、耐外冲击性能（落锤冲击）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GB/T19472.1-2019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聚乙烯缠绕结构壁管材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尺寸、环刚度、环柔性、热烘箱试验、耐外冲击性能（落锤冲击）、纵向回缩率、缝的拉伸强度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按产品标准规定执行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color w:val="333333"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333333"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GB/T19472.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-201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硬聚氯乙烯双壁波纹管材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尺寸、环刚度、环柔性、热烘箱试验、耐外冲击性能（落锤冲击）、密度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同一原料、配方和工艺连续生产的同一规格管材为一批，每批数量不超过60t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color w:val="333333"/>
                <w:kern w:val="36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GB/T18477.1-2007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硬聚氯乙烯加筋管材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尺寸、环刚度、热烘箱试验、耐外冲击性能（落锤冲击）、维卡软化温度、密度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同一批原料，同一配方和工艺生产的同一规格的管材为一批，每批数量不超过50t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hd w:val="clear" w:color="auto" w:fill="FFFFFF"/>
              <w:spacing w:after="0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hd w:val="clear" w:color="auto" w:fill="FFFFFF"/>
              <w:spacing w:after="0"/>
              <w:jc w:val="center"/>
              <w:outlineLvl w:val="0"/>
              <w:rPr>
                <w:rFonts w:cs="宋体" w:asciiTheme="minorEastAsia" w:hAnsiTheme="minorEastAsia" w:eastAsiaTheme="minorEastAsia"/>
                <w:bCs/>
                <w:color w:val="333333"/>
                <w:kern w:val="36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GB/T18477.2-2011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钢带增强聚乙烯螺旋波纹管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尺寸、环刚度、环柔性、热烘箱试验、耐外冲击性能（落锤冲击）、缝的拉伸强度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同一原料、配方和工艺情况下生产的同一规格管材为一批，每批数量不超过300t</w:t>
            </w:r>
          </w:p>
        </w:tc>
        <w:tc>
          <w:tcPr>
            <w:tcW w:w="1359" w:type="dxa"/>
            <w:vAlign w:val="center"/>
          </w:tcPr>
          <w:p>
            <w:pPr>
              <w:shd w:val="clear" w:color="auto" w:fill="FFFFFF"/>
              <w:spacing w:after="0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hd w:val="clear" w:color="auto" w:fill="FFFFFF"/>
              <w:spacing w:after="0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CJ/T225-2011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球墨铸铁管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拉伸试验、锌涂层质量、内衬厚度、终饰层厚度、布氏硬度、径向刚度、径向变形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每批由同一公称直径、同一接口型式、同一壁厚级别、同一定尺长度、同一退火制度的球墨铸铁管组成。每批最大数量应以下的规定：离心铸铁管：DN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40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～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300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mm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200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根一批次，DN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350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～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600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mm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100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根一批次，DN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700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～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1000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mm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50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根一批次DN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1100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～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3000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mm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25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根一批次，非离心铸铁管：4t一批次</w:t>
            </w:r>
          </w:p>
        </w:tc>
        <w:tc>
          <w:tcPr>
            <w:tcW w:w="1359" w:type="dxa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检查井及雨水篦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承载力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同一级别、同一种类、同一原材料在相似条件下生产的检查井盖构成批量，500套为一批</w:t>
            </w:r>
          </w:p>
        </w:tc>
        <w:tc>
          <w:tcPr>
            <w:tcW w:w="1359" w:type="dxa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GB/T23858-2009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GB/T26537-2011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混凝土模块砌体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同一生产厂家、同一强度等级、相同原材料、相同成型设备及生产工艺生产的相同规格的模块，每20000块应划分为一个检验批；每一批抽检数量不应少于1组</w:t>
            </w:r>
          </w:p>
        </w:tc>
        <w:tc>
          <w:tcPr>
            <w:tcW w:w="1359" w:type="dxa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CJJ/T230-2015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塑料检查井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荷载、井座抗冲击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同一原材料、配方和工艺情况下生产同一规格的检查井井座为一批</w:t>
            </w:r>
          </w:p>
        </w:tc>
        <w:tc>
          <w:tcPr>
            <w:tcW w:w="1359" w:type="dxa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CJ/T233-2016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2769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210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92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17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2769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</w:t>
            </w:r>
          </w:p>
        </w:tc>
        <w:tc>
          <w:tcPr>
            <w:tcW w:w="13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颗粒级配、含泥量、泥块含量、针片状含量、压碎值、碱活性</w:t>
            </w:r>
          </w:p>
        </w:tc>
        <w:tc>
          <w:tcPr>
            <w:tcW w:w="32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验收批进行验收。当石的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0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magent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最大干密度、最优含水率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每种土质一次或对土质有疑问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地基承载力特征值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每300m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≥1点，超过3000m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部分每500m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≥1点，每单位工程≥3点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hd w:val="clear" w:color="auto" w:fill="FFFFFF"/>
              <w:spacing w:after="0" w:line="360" w:lineRule="atLeast"/>
              <w:jc w:val="center"/>
              <w:outlineLvl w:val="0"/>
              <w:rPr>
                <w:rFonts w:cs="宋体" w:asciiTheme="minorEastAsia" w:hAnsiTheme="minorEastAsia" w:eastAsiaTheme="minorEastAsia"/>
                <w:bCs/>
                <w:kern w:val="36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GB50202-2018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JGJ79-2012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DGJ32/TJ142-2012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JGJ340-2015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每构筑物的同一配合比的混凝土，每工作班、每拌制100m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混凝土为一个验收批，应留置一组；当同一部位、同一配合比的混凝土一次连续浇筑超过1000m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时，每拌制200m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混凝土为一个验收批，应留置一组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GB50141-2008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压实度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每100m，每层每侧一组（每组3点）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JTG3430-2020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GB/T50123-2019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管道缺陷（CCTV法、QV法）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全数检查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CJJ181-2012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管道接口连接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管道防腐层（管道内防腐层、钢管外防腐层）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ind w:firstLine="315" w:firstLineChars="150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2021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90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pH值、不溶物、可溶物、氯离子含量、硫酸根含量、碱含量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同一水源一次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JGJ63-2006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90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配合比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同批原材、同强度等级和稠度一次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Mongolian Baiti" w:asciiTheme="minorEastAsia" w:hAnsiTheme="minorEastAsia" w:eastAsiaTheme="minorEastAsia"/>
                <w:sz w:val="21"/>
                <w:szCs w:val="21"/>
              </w:rPr>
              <w:t>JGJ/T98-2010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砂浆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每一验收批且不超过250m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砌体的各类、各强度等级的普通砌筑砂浆，每台搅拌机应至少抽检一次。验收批的预拌砂浆、蒸压加气混凝土砌块专用砂浆，抽检可为3组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GB50203-2011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GB/T50129-2011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JGJ/T136-2017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340" w:hRule="atLeas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大型顶管工程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不开槽施工主体结构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工作井</w:t>
            </w: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工作井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每根钻孔灌注桩、每幅地下连续墙混凝土为一个验收批，抗压强度试块留置一组；沉井及其他现浇结构的同一配合比混凝土，每工作班且每浇筑100m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为一个验收批，抗压强度试块留置不应少于1组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GB50141-2008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抗水渗透性能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每浇筑500m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混凝土抗渗试块留置不应少于1组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顶管</w:t>
            </w: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管道接口连接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焊缝质量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超声波探伤、射线探伤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一级焊缝全数检查；二级焊缝20%且不应少于3条焊缝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472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顶管管道（钢筋混凝土）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钢筋混凝土排水管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内水压力、外压荷载、保护层厚度</w:t>
            </w:r>
          </w:p>
        </w:tc>
        <w:tc>
          <w:tcPr>
            <w:tcW w:w="3206" w:type="dxa"/>
            <w:gridSpan w:val="3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由相同原材料、相同生产工艺生产的同一规格、同一种接头型式、同一种外压荷载级别的管子组成一个受检批</w:t>
            </w:r>
          </w:p>
        </w:tc>
        <w:tc>
          <w:tcPr>
            <w:tcW w:w="2717" w:type="dxa"/>
            <w:gridSpan w:val="4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36"/>
                <w:sz w:val="21"/>
                <w:szCs w:val="21"/>
              </w:rPr>
              <w:t>GB/T11836-2009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GB/T16752-2017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55" w:hRule="atLeas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206" w:type="dxa"/>
            <w:gridSpan w:val="3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17" w:type="dxa"/>
            <w:gridSpan w:val="4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管道防腐层（管道内防腐层、钢管外防腐层）</w:t>
            </w: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39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垂直顶升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331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</w:p>
        </w:tc>
        <w:tc>
          <w:tcPr>
            <w:tcW w:w="121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盾构管道工程</w:t>
            </w:r>
          </w:p>
        </w:tc>
        <w:tc>
          <w:tcPr>
            <w:tcW w:w="63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不开槽施工主体结构</w:t>
            </w:r>
          </w:p>
        </w:tc>
        <w:tc>
          <w:tcPr>
            <w:tcW w:w="604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盾构</w:t>
            </w:r>
          </w:p>
        </w:tc>
        <w:tc>
          <w:tcPr>
            <w:tcW w:w="1221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管片制作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0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同一配合比当天同一班组或每浇筑5环管片混凝土为一个验收批，留置抗压强度试块1组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抗水渗透性能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同一配合比当天同一班组或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每生产10环管片混凝土应留置抗渗试块1组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32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二次内衬（钢筋、混凝土）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</w:t>
            </w:r>
          </w:p>
        </w:tc>
        <w:tc>
          <w:tcPr>
            <w:tcW w:w="1309" w:type="dxa"/>
            <w:vAlign w:val="center"/>
          </w:tcPr>
          <w:p>
            <w:pPr>
              <w:spacing w:after="0"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每批由同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一牌号，同同一炉罐号，同一规格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的钢筋组成。每批重量通常不大于60t。超过60t的部分每增加40t（或不足40t的余数），增加一个拉伸试验试样和一个弯曲试验试样。允许由同一牌号 、同一冶炼方法、同一浇注方法的不同炉罐号组成混合批,但各炉罐号含碳量之差不大于0.02%,含锰量之差不大于0.15%。混合批的重量不大于60t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GB/T1499.1-2017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钢筋焊接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抗拉强度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、弯曲试验（闪光对焊、气压焊）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同一台班内由同一焊工完成的300个同牌号、同直径钢筋焊接头应作为一批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同一配合比，每连续浇筑一次混凝土为一验收批，应留置抗压试块1组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抗水渗透性能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同一配合比，每连续浇筑一次混凝土为一验收批，应留置抗渗试块1组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90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管道防腐层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垂直顶升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4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浅埋暗挖管道工程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-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浅埋暗挖</w:t>
            </w: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土层开挖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trHeight w:val="382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初期衬砌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color w:val="FF0000"/>
                <w:sz w:val="21"/>
                <w:szCs w:val="21"/>
                <w:highlight w:val="yellow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同一配合比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，管道拱部和侧墙每20m混凝土为一验收批，抗压强度试块留置一组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抗水渗透性能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同一配合比，每40m管道混凝土留置抗渗试块一组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防水层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二次内衬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同一配比，每浇筑一次垫层混凝土为一验收批，抗压强度试块留置一组；同一配合比，每浇筑管道每30m混凝土为一验收批，抗压强度试块留置2组（其中1组作为28d强度）；同条件养护试块根据需要确定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抗水渗透性能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同一配合比，每浇筑管道每30m混凝土为一验收批，留置1组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管道防腐层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垂直顶升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5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大型沉管工程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沉管</w:t>
            </w:r>
          </w:p>
        </w:tc>
        <w:tc>
          <w:tcPr>
            <w:tcW w:w="60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组对拼装沉管</w:t>
            </w: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基槽浚挖及管基处理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颗粒级配、含泥量、泥块含量、针片状含量、压碎值、碱活性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验收批进行验收。当石的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管道接口连接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焊缝质量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超声波探伤、射线探伤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20%且不应少于3条焊缝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管道防腐层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预制钢筋混凝土沉管</w:t>
            </w: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基槽浚挖及管基处理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。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颗粒级配、含泥量、泥块含量、针片状含量、压碎值、碱活性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验收批进行验收。当石的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预制钢筋混凝土管节制作（钢筋、模板、混凝土）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</w:t>
            </w:r>
          </w:p>
        </w:tc>
        <w:tc>
          <w:tcPr>
            <w:tcW w:w="1309" w:type="dxa"/>
            <w:vAlign w:val="center"/>
          </w:tcPr>
          <w:p>
            <w:pPr>
              <w:spacing w:after="0"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屈服强度、抗拉强度、断后伸长率、弯曲性能、重量偏差、最大力总延伸率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每批由同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一牌号，同同一炉罐号，同一规格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的钢筋组成。每批重量通常不大于60t。超过60t的部分每增加40t（或不足40t的余数），增加一个拉伸试验试样和一个弯曲试验试样。允许由同一牌号 、同一冶炼方法、同一浇注方法的不同炉罐号组成混合批,但各炉罐号含碳量之差不大于0.02%,含锰量之差不大于0.15%。混合批的重量不大于60t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GB/T1499.1-2017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GB/T1499.2-2018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钢筋焊接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抗拉强度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、弯曲试验（闪光对焊、气压焊）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同一台班内由同一焊工完成的300个同牌号、同直径钢筋焊接头应作为一批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CJJ1-2008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JGJ18-2012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水泥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安定性、凝结时间、胶砂强度、胶砂流动度、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氯离子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Times New Roman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同</w: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</w:rPr>
              <w:t>厂家、同</w:t>
            </w:r>
            <w:r>
              <w:rPr>
                <w:rFonts w:cs="Times New Roman" w:asciiTheme="minorEastAsia" w:hAnsiTheme="minorEastAsia" w:eastAsiaTheme="minorEastAsia"/>
                <w:sz w:val="21"/>
                <w:szCs w:val="21"/>
              </w:rPr>
              <w:t>品种、同标号、同一出厂编号且同一次进场的，袋装水泥不超过200t，散装水泥不超过500t为一批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ind w:firstLine="315" w:firstLineChars="150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GB175-2007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砂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含泥量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泥块含量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、压碎值指标、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碱活性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、氯离子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验收批进行验收。当砂的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。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石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颗粒级配、含泥量、泥块含量、针片状含量、压碎值、碱活性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采用大型工具运输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以400m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或600t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为一验收批；采用小型工具运输的，应以2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00m</w:t>
            </w:r>
            <w:r>
              <w:rPr>
                <w:rFonts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00t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为一验收批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。不足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上述量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，应按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验收批进行验收。当石的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质量比较稳定、进料量又较大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时，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可以1000t为一验收批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Mongolian Bait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Mongolian Baiti" w:asciiTheme="minorEastAsia" w:hAnsiTheme="minorEastAsia" w:eastAsiaTheme="minorEastAsia"/>
                <w:sz w:val="21"/>
                <w:szCs w:val="21"/>
              </w:rPr>
              <w:t>JGJ52-2006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</w:t>
            </w: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抗压强度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底板、侧墙、顶板、后浇带等每部位的混凝土，每工作班不应少于1组、且每浇筑100m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为一验收批，抗压强度试块留置不应少于1组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抗水渗透性能</w:t>
            </w:r>
          </w:p>
        </w:tc>
        <w:tc>
          <w:tcPr>
            <w:tcW w:w="213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每浇筑500m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混凝土及每后浇带为一验收批，抗渗试块留置不应少于1组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GB/T50082-2009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3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管节接口预制加工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3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焊缝质量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超声波探伤、射线探伤</w:t>
            </w:r>
          </w:p>
        </w:tc>
        <w:tc>
          <w:tcPr>
            <w:tcW w:w="213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20%且不应少于3条焊缝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gridAfter w:val="1"/>
          <w:wAfter w:w="711" w:type="dxa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13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6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大型桥管</w:t>
            </w:r>
          </w:p>
        </w:tc>
        <w:tc>
          <w:tcPr>
            <w:tcW w:w="1243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桥管</w:t>
            </w:r>
          </w:p>
        </w:tc>
        <w:tc>
          <w:tcPr>
            <w:tcW w:w="122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管道接口连接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焊缝质量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超声波探伤、射线探伤</w:t>
            </w:r>
          </w:p>
        </w:tc>
        <w:tc>
          <w:tcPr>
            <w:tcW w:w="3270" w:type="dxa"/>
            <w:gridSpan w:val="4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20%且不应少于3条焊缝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桥管管道</w:t>
            </w: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施工过程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焊缝质量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超声波探伤、射线探伤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20%且不应少于3条焊缝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  <w:p>
            <w:pPr>
              <w:spacing w:after="0"/>
              <w:jc w:val="center"/>
              <w:textAlignment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</w:rPr>
              <w:t>GB50205-2020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钢管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涂层厚度、附着力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涂层干膜厚度每5m测1个断面，每个断面测相互垂直的4个点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cs="宋体" w:asciiTheme="minorEastAsia" w:hAnsiTheme="minorEastAsia" w:eastAsia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GB50268-2008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jc w:val="center"/>
        </w:trPr>
        <w:tc>
          <w:tcPr>
            <w:tcW w:w="53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97" w:type="dxa"/>
            <w:gridSpan w:val="3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施工结束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  <w:tc>
          <w:tcPr>
            <w:tcW w:w="2717" w:type="dxa"/>
            <w:gridSpan w:val="4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</w:tbl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sectPr>
      <w:footerReference r:id="rId4" w:type="default"/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23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44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731"/>
    <w:rsid w:val="0001023B"/>
    <w:rsid w:val="000205A9"/>
    <w:rsid w:val="000226A5"/>
    <w:rsid w:val="00087E52"/>
    <w:rsid w:val="00105A7F"/>
    <w:rsid w:val="001067C4"/>
    <w:rsid w:val="00117020"/>
    <w:rsid w:val="00130343"/>
    <w:rsid w:val="00143835"/>
    <w:rsid w:val="001572BF"/>
    <w:rsid w:val="001B4127"/>
    <w:rsid w:val="001E4C93"/>
    <w:rsid w:val="001F6619"/>
    <w:rsid w:val="00216433"/>
    <w:rsid w:val="00227033"/>
    <w:rsid w:val="002678DF"/>
    <w:rsid w:val="002A1882"/>
    <w:rsid w:val="00312250"/>
    <w:rsid w:val="00323B43"/>
    <w:rsid w:val="00324FA5"/>
    <w:rsid w:val="00337A1D"/>
    <w:rsid w:val="0034476D"/>
    <w:rsid w:val="0036478B"/>
    <w:rsid w:val="00375607"/>
    <w:rsid w:val="00387455"/>
    <w:rsid w:val="003907A3"/>
    <w:rsid w:val="003C6BAE"/>
    <w:rsid w:val="003D37D8"/>
    <w:rsid w:val="003F3693"/>
    <w:rsid w:val="004170D9"/>
    <w:rsid w:val="00426133"/>
    <w:rsid w:val="00426E80"/>
    <w:rsid w:val="004358AB"/>
    <w:rsid w:val="00443887"/>
    <w:rsid w:val="00447CEB"/>
    <w:rsid w:val="00460E2D"/>
    <w:rsid w:val="004719F6"/>
    <w:rsid w:val="00485667"/>
    <w:rsid w:val="004A0E09"/>
    <w:rsid w:val="004B2DCF"/>
    <w:rsid w:val="004E4A33"/>
    <w:rsid w:val="00510B22"/>
    <w:rsid w:val="005136AF"/>
    <w:rsid w:val="0052171C"/>
    <w:rsid w:val="005218AE"/>
    <w:rsid w:val="005639A0"/>
    <w:rsid w:val="00567050"/>
    <w:rsid w:val="00594145"/>
    <w:rsid w:val="005948C5"/>
    <w:rsid w:val="005A6837"/>
    <w:rsid w:val="005C4D13"/>
    <w:rsid w:val="005F3C05"/>
    <w:rsid w:val="00601763"/>
    <w:rsid w:val="00622E2F"/>
    <w:rsid w:val="00652DD9"/>
    <w:rsid w:val="00662961"/>
    <w:rsid w:val="00665633"/>
    <w:rsid w:val="006B319F"/>
    <w:rsid w:val="006C5E7E"/>
    <w:rsid w:val="006D6BAC"/>
    <w:rsid w:val="006E484B"/>
    <w:rsid w:val="007048E7"/>
    <w:rsid w:val="00706B99"/>
    <w:rsid w:val="00752B6B"/>
    <w:rsid w:val="00761EBD"/>
    <w:rsid w:val="00780EDD"/>
    <w:rsid w:val="007A72BC"/>
    <w:rsid w:val="007C49D6"/>
    <w:rsid w:val="0085785D"/>
    <w:rsid w:val="008B7726"/>
    <w:rsid w:val="008F1AB3"/>
    <w:rsid w:val="0090146E"/>
    <w:rsid w:val="00907C20"/>
    <w:rsid w:val="00960B0D"/>
    <w:rsid w:val="0099390E"/>
    <w:rsid w:val="009B7E62"/>
    <w:rsid w:val="009D0D24"/>
    <w:rsid w:val="009D22CB"/>
    <w:rsid w:val="009F240C"/>
    <w:rsid w:val="00A07904"/>
    <w:rsid w:val="00A126D9"/>
    <w:rsid w:val="00A13ACE"/>
    <w:rsid w:val="00A74A37"/>
    <w:rsid w:val="00AE666D"/>
    <w:rsid w:val="00B1471F"/>
    <w:rsid w:val="00B51551"/>
    <w:rsid w:val="00B62A17"/>
    <w:rsid w:val="00B86507"/>
    <w:rsid w:val="00B9746F"/>
    <w:rsid w:val="00BA5671"/>
    <w:rsid w:val="00BB078E"/>
    <w:rsid w:val="00BB377F"/>
    <w:rsid w:val="00C24B10"/>
    <w:rsid w:val="00C349C3"/>
    <w:rsid w:val="00C35351"/>
    <w:rsid w:val="00C421AD"/>
    <w:rsid w:val="00C526E1"/>
    <w:rsid w:val="00C92547"/>
    <w:rsid w:val="00CC6108"/>
    <w:rsid w:val="00CD465C"/>
    <w:rsid w:val="00CE3839"/>
    <w:rsid w:val="00CF290F"/>
    <w:rsid w:val="00D00CE8"/>
    <w:rsid w:val="00D16869"/>
    <w:rsid w:val="00D17749"/>
    <w:rsid w:val="00D20E79"/>
    <w:rsid w:val="00D27417"/>
    <w:rsid w:val="00D31D50"/>
    <w:rsid w:val="00D36C9D"/>
    <w:rsid w:val="00D705D1"/>
    <w:rsid w:val="00D71F3B"/>
    <w:rsid w:val="00D7503C"/>
    <w:rsid w:val="00DB4660"/>
    <w:rsid w:val="00DC44EC"/>
    <w:rsid w:val="00DE4901"/>
    <w:rsid w:val="00E06D1E"/>
    <w:rsid w:val="00E1063B"/>
    <w:rsid w:val="00E20598"/>
    <w:rsid w:val="00E4054F"/>
    <w:rsid w:val="00E52DFA"/>
    <w:rsid w:val="00E55ADE"/>
    <w:rsid w:val="00E85286"/>
    <w:rsid w:val="00EA409A"/>
    <w:rsid w:val="00EC167B"/>
    <w:rsid w:val="00EC2DB3"/>
    <w:rsid w:val="00ED03B0"/>
    <w:rsid w:val="00ED40B1"/>
    <w:rsid w:val="00F45348"/>
    <w:rsid w:val="00F5732D"/>
    <w:rsid w:val="00F62EE3"/>
    <w:rsid w:val="00F76F5A"/>
    <w:rsid w:val="00F84D37"/>
    <w:rsid w:val="00F93440"/>
    <w:rsid w:val="00FA6D64"/>
    <w:rsid w:val="00FF42CA"/>
    <w:rsid w:val="014F1157"/>
    <w:rsid w:val="082F7DDC"/>
    <w:rsid w:val="09795B92"/>
    <w:rsid w:val="0B453075"/>
    <w:rsid w:val="0D093292"/>
    <w:rsid w:val="121B3A43"/>
    <w:rsid w:val="131F3287"/>
    <w:rsid w:val="19383590"/>
    <w:rsid w:val="1C8F5DA8"/>
    <w:rsid w:val="1DDC2127"/>
    <w:rsid w:val="1EF848F5"/>
    <w:rsid w:val="22F07C92"/>
    <w:rsid w:val="24F33A38"/>
    <w:rsid w:val="2E4719BB"/>
    <w:rsid w:val="2E511EB9"/>
    <w:rsid w:val="30243CBB"/>
    <w:rsid w:val="340334EF"/>
    <w:rsid w:val="347D72BD"/>
    <w:rsid w:val="36690526"/>
    <w:rsid w:val="3C285874"/>
    <w:rsid w:val="3E855AB2"/>
    <w:rsid w:val="3FD57DB4"/>
    <w:rsid w:val="42A957EC"/>
    <w:rsid w:val="43334373"/>
    <w:rsid w:val="45831775"/>
    <w:rsid w:val="45E85AE3"/>
    <w:rsid w:val="514A7B7E"/>
    <w:rsid w:val="51AB4A96"/>
    <w:rsid w:val="5689330D"/>
    <w:rsid w:val="57457270"/>
    <w:rsid w:val="574A000E"/>
    <w:rsid w:val="592D67F3"/>
    <w:rsid w:val="5C333B0C"/>
    <w:rsid w:val="60DC0E86"/>
    <w:rsid w:val="63256E73"/>
    <w:rsid w:val="6C1B70B2"/>
    <w:rsid w:val="6D185CD4"/>
    <w:rsid w:val="6DDB3E10"/>
    <w:rsid w:val="7D4E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semiHidden/>
    <w:unhideWhenUsed/>
    <w:qFormat/>
    <w:uiPriority w:val="99"/>
    <w:pPr>
      <w:widowControl w:val="0"/>
      <w:adjustRightInd/>
      <w:snapToGrid/>
      <w:spacing w:after="0"/>
    </w:pPr>
    <w:rPr>
      <w:rFonts w:asciiTheme="minorHAnsi" w:hAnsiTheme="minorHAnsi" w:eastAsiaTheme="minorEastAsia"/>
      <w:kern w:val="2"/>
      <w:sz w:val="21"/>
    </w:rPr>
  </w:style>
  <w:style w:type="paragraph" w:styleId="4">
    <w:name w:val="Balloon Text"/>
    <w:basedOn w:val="1"/>
    <w:link w:val="17"/>
    <w:semiHidden/>
    <w:unhideWhenUsed/>
    <w:qFormat/>
    <w:uiPriority w:val="99"/>
    <w:pPr>
      <w:widowControl w:val="0"/>
      <w:adjustRightInd/>
      <w:snapToGrid/>
      <w:spacing w:after="0"/>
      <w:jc w:val="both"/>
    </w:pPr>
    <w:rPr>
      <w:rFonts w:asciiTheme="minorHAnsi" w:hAnsiTheme="minorHAnsi" w:eastAsiaTheme="minorEastAsia"/>
      <w:kern w:val="2"/>
      <w:sz w:val="18"/>
      <w:szCs w:val="18"/>
    </w:rPr>
  </w:style>
  <w:style w:type="paragraph" w:styleId="5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6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标题 1 Char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批注文字 Char"/>
    <w:basedOn w:val="10"/>
    <w:link w:val="3"/>
    <w:semiHidden/>
    <w:qFormat/>
    <w:uiPriority w:val="99"/>
    <w:rPr>
      <w:rFonts w:eastAsiaTheme="minorEastAsia"/>
      <w:kern w:val="2"/>
      <w:sz w:val="21"/>
    </w:rPr>
  </w:style>
  <w:style w:type="character" w:customStyle="1" w:styleId="16">
    <w:name w:val="批注主题 Char"/>
    <w:basedOn w:val="15"/>
    <w:link w:val="7"/>
    <w:semiHidden/>
    <w:qFormat/>
    <w:uiPriority w:val="99"/>
    <w:rPr>
      <w:b/>
      <w:bCs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09F765-02F0-4A5B-9586-1B330BAD51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44</Pages>
  <Words>14946</Words>
  <Characters>11889</Characters>
  <Lines>99</Lines>
  <Paragraphs>53</Paragraphs>
  <TotalTime>4</TotalTime>
  <ScaleCrop>false</ScaleCrop>
  <LinksUpToDate>false</LinksUpToDate>
  <CharactersWithSpaces>26782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雪rainbow</cp:lastModifiedBy>
  <cp:lastPrinted>2021-02-22T05:07:00Z</cp:lastPrinted>
  <dcterms:modified xsi:type="dcterms:W3CDTF">2021-04-08T04:52:43Z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28CCBBE847E846709AF56BC10E95DAE0</vt:lpwstr>
  </property>
</Properties>
</file>